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v0.1.46 development draft: Historical requirement statements carried forward from v0.1.44. Proposed changes and acceptance are not implied.</w:t>
      </w:r>
    </w:p>
    <w:p>
      <w:r>
        <w:t>Current status (v0.1.46): This is a retained 43-item historical backlog statement register. Refer to Requirements and Scope for the recovered PEND descriptions. Implementation status remains unverified unless supported by separate tests.</w:t>
      </w:r>
    </w:p>
    <w:p>
      <w:pPr>
        <w:pStyle w:val="Title"/>
      </w:pPr>
      <w:r>
        <w:t>v0.1.46 — Package-contained Backlog Requirement Register</w:t>
      </w:r>
    </w:p>
    <w:p>
      <w:r>
        <w:t>Status: SOURCE INVENTORY; NOT A VERIFIED REQUIREMENTS BASELINE.</w:t>
      </w:r>
    </w:p>
    <w:p>
      <w:r>
        <w:t>This register assigns stable IDs to 43 bullet-level statements extracted verbatim from the packaged Development-Backlog.md in historical Checkpoint 11. The IDs identify backlog statements, not necessarily atomic requirements. Multi-clause statements require decomposition and acceptance criteria before closure. This register does not claim to recover unprovided historical requirements or demonstrate implementation.</w:t>
      </w:r>
    </w:p>
    <w:p>
      <w:pPr>
        <w:pStyle w:val="Heading1"/>
      </w:pPr>
      <w:r>
        <w:t>Interpretation</w:t>
      </w:r>
    </w:p>
    <w:p>
      <w:pPr>
        <w:pStyle w:val="ListBullet"/>
      </w:pPr>
      <w:r>
        <w:t>Origin: packaged Development Backlog; section heading retained.</w:t>
      </w:r>
    </w:p>
    <w:p>
      <w:pPr>
        <w:pStyle w:val="ListBullet"/>
      </w:pPr>
      <w:r>
        <w:t>Candidate source: search starting point only; existence does not prove implementation.</w:t>
      </w:r>
    </w:p>
    <w:p>
      <w:pPr>
        <w:pStyle w:val="ListBullet"/>
      </w:pPr>
      <w:r>
        <w:t>Implementation and acceptance: NOT VERIFIED unless separately backed by executed tests and review.</w:t>
      </w:r>
    </w:p>
    <w:p>
      <w:pPr>
        <w:pStyle w:val="ListBullet"/>
      </w:pPr>
      <w:r>
        <w:t>Next action: classify, split composite statements, deduplicate against Phase 3 and PEND inventories, add measurable acceptance criteria and code/test evidence.</w:t>
      </w:r>
    </w:p>
    <w:p>
      <w:pPr>
        <w:pStyle w:val="Heading1"/>
      </w:pPr>
      <w:r>
        <w:t>Backlog statements and candidate source locations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01"/>
        <w:gridCol w:w="1901"/>
        <w:gridCol w:w="1901"/>
        <w:gridCol w:w="1901"/>
        <w:gridCol w:w="1901"/>
      </w:tblGrid>
      <w:tr>
        <w:tc>
          <w:tcPr>
            <w:tcW w:type="dxa" w:w="1901"/>
          </w:tcPr>
          <w:p>
            <w:r>
              <w:t>ID</w:t>
            </w:r>
          </w:p>
        </w:tc>
        <w:tc>
          <w:tcPr>
            <w:tcW w:type="dxa" w:w="1901"/>
          </w:tcPr>
          <w:p>
            <w:r>
              <w:t>Source section</w:t>
            </w:r>
          </w:p>
        </w:tc>
        <w:tc>
          <w:tcPr>
            <w:tcW w:type="dxa" w:w="1901"/>
          </w:tcPr>
          <w:p>
            <w:r>
              <w:t>Verbatim backlog statement</w:t>
            </w:r>
          </w:p>
        </w:tc>
        <w:tc>
          <w:tcPr>
            <w:tcW w:type="dxa" w:w="1901"/>
          </w:tcPr>
          <w:p>
            <w:r>
              <w:t>Candidate source (not proof)</w:t>
            </w:r>
          </w:p>
        </w:tc>
        <w:tc>
          <w:tcPr>
            <w:tcW w:type="dxa" w:w="1901"/>
          </w:tcPr>
          <w:p>
            <w:r>
              <w:t>Status</w:t>
            </w:r>
          </w:p>
        </w:tc>
      </w:tr>
      <w:tr>
        <w:tc>
          <w:tcPr>
            <w:tcW w:type="dxa" w:w="1901"/>
          </w:tcPr>
          <w:p>
            <w:r>
              <w:t>BLG-001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Validate the live edit → preview → commit → explicit result → branch-specific verification workflow against Bluehost/GitHub. Every successful write must return the resulting commit SHA; failures must expose useful errors.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BLG-002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Use optimistic concurrency/expected-HEAD protection. A write based on commit A must be rejected if the branch has moved to B. Never silently overwrite newer repository state.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BLG-003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Support AI-oriented source-control primitives: identify repository and branch, read files at exact revisions, retrieve branch HEAD, compare/diff revisions, create branches when permitted, and submit one or more files as an atomic commit.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BLG-004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Support reconciliation after stale-base rejection. KIP Interfaces supplies exact base/current content or diffs and safety checks; the AI performs development/merge reasoning. Any deterministic merge primitive must fail closed on conflicts.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BLG-005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Return machine-readable audit results for writes: repository, branch, expected/base commit, resulting commit, files changed, success/rejection, and useful error details.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BLG-006</w:t>
            </w:r>
          </w:p>
        </w:tc>
        <w:tc>
          <w:tcPr>
            <w:tcW w:type="dxa" w:w="1901"/>
          </w:tcPr>
          <w:p>
            <w:r>
              <w:t>P0 — Complete and validate safe GitHub source-control path</w:t>
            </w:r>
          </w:p>
        </w:tc>
        <w:tc>
          <w:tcPr>
            <w:tcW w:type="dxa" w:w="1901"/>
          </w:tcPr>
          <w:p>
            <w:r>
              <w:t>Preserve GitHub credentials server-side. AI clients receive scoped KIP Interfaces authorization, never GitHub PATs.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BLG-007</w:t>
            </w:r>
          </w:p>
        </w:tc>
        <w:tc>
          <w:tcPr>
            <w:tcW w:type="dxa" w:w="1901"/>
          </w:tcPr>
          <w:p>
            <w:r>
              <w:t>P0 — Retained ZIP and synchronization</w:t>
            </w:r>
          </w:p>
        </w:tc>
        <w:tc>
          <w:tcPr>
            <w:tcW w:type="dxa" w:w="1901"/>
          </w:tcPr>
          <w:p>
            <w:r>
              <w:t>Finish live validation of retained-ZIP reuse across Compare, Initial Import, and Synchronize. One selected/uploaded server-retained package must be reusable without another browser file selection.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BLG-008</w:t>
            </w:r>
          </w:p>
        </w:tc>
        <w:tc>
          <w:tcPr>
            <w:tcW w:type="dxa" w:w="1901"/>
          </w:tcPr>
          <w:p>
            <w:r>
              <w:t>P0 — Retained ZIP and synchronization</w:t>
            </w:r>
          </w:p>
        </w:tc>
        <w:tc>
          <w:tcPr>
            <w:tcW w:type="dxa" w:w="1901"/>
          </w:tcPr>
          <w:p>
            <w:r>
              <w:t>Redefine Synchronize as a controlled import/bootstrap operation, not a routine overwrite mechanism. Synchronization of an established repository must create an explicit Git commit with meaningful parentage and release identity.</w:t>
            </w:r>
          </w:p>
        </w:tc>
        <w:tc>
          <w:tcPr>
            <w:tcW w:type="dxa" w:w="1901"/>
          </w:tcPr>
          <w:p>
            <w:r>
              <w:t>tools/validate-release.py; release-manifest.json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BLG-009</w:t>
            </w:r>
          </w:p>
        </w:tc>
        <w:tc>
          <w:tcPr>
            <w:tcW w:type="dxa" w:w="1901"/>
          </w:tcPr>
          <w:p>
            <w:r>
              <w:t>P0 — Retained ZIP and synchronization</w:t>
            </w:r>
          </w:p>
        </w:tc>
        <w:tc>
          <w:tcPr>
            <w:tcW w:type="dxa" w:w="1901"/>
          </w:tcPr>
          <w:p>
            <w:r>
              <w:t>Before synchronization/import, compare against current GitHub HEAD and reject unsafe overwrite when repository state has moved unexpectedly.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BLG-010</w:t>
            </w:r>
          </w:p>
        </w:tc>
        <w:tc>
          <w:tcPr>
            <w:tcW w:type="dxa" w:w="1901"/>
          </w:tcPr>
          <w:p>
            <w:r>
              <w:t>P0 — Retained ZIP and synchronization</w:t>
            </w:r>
          </w:p>
        </w:tc>
        <w:tc>
          <w:tcPr>
            <w:tcW w:type="dxa" w:w="1901"/>
          </w:tcPr>
          <w:p>
            <w:r>
              <w:t>Longer term, de-emphasize Synchronize or place it behind an administrative/advanced path. Normal ongoing development should be source-control based; every change to an established repository should be explainable by a commit.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BLG-011</w:t>
            </w:r>
          </w:p>
        </w:tc>
        <w:tc>
          <w:tcPr>
            <w:tcW w:type="dxa" w:w="1901"/>
          </w:tcPr>
          <w:p>
            <w:r>
              <w:t>P0 — Version-state awareness and documentation integrity</w:t>
            </w:r>
          </w:p>
        </w:tc>
        <w:tc>
          <w:tcPr>
            <w:tcW w:type="dxa" w:w="1901"/>
          </w:tcPr>
          <w:p>
            <w:r>
              <w:t>Add version-state awareness that distinguishes at least: installed/deployed version, GitHub repository version, and latest generated/retained release. Show drift clearly without automatically labeling a legitimate state as defective.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BLG-012</w:t>
            </w:r>
          </w:p>
        </w:tc>
        <w:tc>
          <w:tcPr>
            <w:tcW w:type="dxa" w:w="1901"/>
          </w:tcPr>
          <w:p>
            <w:r>
              <w:t>P0 — Version-state awareness and documentation integrity</w:t>
            </w:r>
          </w:p>
        </w:tc>
        <w:tc>
          <w:tcPr>
            <w:tcW w:type="dxa" w:w="1901"/>
          </w:tcPr>
          <w:p>
            <w:r>
              <w:t>Expose version-state information in the administrative/status UI and make it machine-readable where useful.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BLG-013</w:t>
            </w:r>
          </w:p>
        </w:tc>
        <w:tc>
          <w:tcPr>
            <w:tcW w:type="dxa" w:w="1901"/>
          </w:tcPr>
          <w:p>
            <w:r>
              <w:t>P0 — Version-state awareness and documentation integrity</w:t>
            </w:r>
          </w:p>
        </w:tc>
        <w:tc>
          <w:tcPr>
            <w:tcW w:type="dxa" w:w="1901"/>
          </w:tcPr>
          <w:p>
            <w:r>
              <w:t>Validate documentation content coherently against the release/specification/base-version identities. A package fingerprint alone does not prove document content is current.</w:t>
            </w:r>
          </w:p>
        </w:tc>
        <w:tc>
          <w:tcPr>
            <w:tcW w:type="dxa" w:w="1901"/>
          </w:tcPr>
          <w:p>
            <w:r>
              <w:t>index.php; tools/build-documentation.py; tools/check-document-links.py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BLG-014</w:t>
            </w:r>
          </w:p>
        </w:tc>
        <w:tc>
          <w:tcPr>
            <w:tcW w:type="dxa" w:w="1901"/>
          </w:tcPr>
          <w:p>
            <w:r>
              <w:t>P0 — Version-state awareness and documentation integrity</w:t>
            </w:r>
          </w:p>
        </w:tc>
        <w:tc>
          <w:tcPr>
            <w:tcW w:type="dxa" w:w="1901"/>
          </w:tcPr>
          <w:p>
            <w:r>
              <w:t>Reclassify the previously observed one-version-behind documentation case when GitHub itself was behind: displaying GitHub's actual older state is correct; the missing capability is drift reporting.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BLG-015</w:t>
            </w:r>
          </w:p>
        </w:tc>
        <w:tc>
          <w:tcPr>
            <w:tcW w:type="dxa" w:w="1901"/>
          </w:tcPr>
          <w:p>
            <w:r>
              <w:t>P1 — Product scope reset: AI-to-GitHub bridge, not an IDE</w:t>
            </w:r>
          </w:p>
        </w:tc>
        <w:tc>
          <w:tcPr>
            <w:tcW w:type="dxa" w:w="1901"/>
          </w:tcPr>
          <w:p>
            <w:r>
              <w:t>Define KIP Interfaces primarily as a narrow, controlled, AI-agnostic bridge between AI clients and GitHub/source control. Do not evolve it into an online IDE or Visual Studio replacement.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BLG-016</w:t>
            </w:r>
          </w:p>
        </w:tc>
        <w:tc>
          <w:tcPr>
            <w:tcW w:type="dxa" w:w="1901"/>
          </w:tcPr>
          <w:p>
            <w:r>
              <w:t>P1 — Product scope reset: AI-to-GitHub bridge, not an IDE</w:t>
            </w:r>
          </w:p>
        </w:tc>
        <w:tc>
          <w:tcPr>
            <w:tcW w:type="dxa" w:w="1901"/>
          </w:tcPr>
          <w:p>
            <w:r>
              <w:t>Retain useful human UI for visibility, administration, diagnostics, and oversight, including repository/branch selection and the existing branch/commit visualization.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BLG-017</w:t>
            </w:r>
          </w:p>
        </w:tc>
        <w:tc>
          <w:tcPr>
            <w:tcW w:type="dxa" w:w="1901"/>
          </w:tcPr>
          <w:p>
            <w:r>
              <w:t>P1 — Product scope reset: AI-to-GitHub bridge, not an IDE</w:t>
            </w:r>
          </w:p>
        </w:tc>
        <w:tc>
          <w:tcPr>
            <w:tcW w:type="dxa" w:w="1901"/>
          </w:tcPr>
          <w:p>
            <w:r>
              <w:t>Validate the existing file viewer against the narrowed requirement. Keep a simple general-purpose preview for README/Markdown, text/source inspection, images/drawings when supported, and downloads. Do not require syntax-aware editing, language intelligence, or IDE navigation.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BLG-018</w:t>
            </w:r>
          </w:p>
        </w:tc>
        <w:tc>
          <w:tcPr>
            <w:tcW w:type="dxa" w:w="1901"/>
          </w:tcPr>
          <w:p>
            <w:r>
              <w:t>P1 — Product scope reset: AI-to-GitHub bridge, not an IDE</w:t>
            </w:r>
          </w:p>
        </w:tc>
        <w:tc>
          <w:tcPr>
            <w:tcW w:type="dxa" w:w="1901"/>
          </w:tcPr>
          <w:p>
            <w:r>
              <w:t>Diff is primarily an API/source-control primitive for AI reasoning and safety; a sophisticated graphical diff UI is not required.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BLG-019</w:t>
            </w:r>
          </w:p>
        </w:tc>
        <w:tc>
          <w:tcPr>
            <w:tcW w:type="dxa" w:w="1901"/>
          </w:tcPr>
          <w:p>
            <w:r>
              <w:t>P1 — Product scope reset: AI-to-GitHub bridge, not an IDE</w:t>
            </w:r>
          </w:p>
        </w:tc>
        <w:tc>
          <w:tcPr>
            <w:tcW w:type="dxa" w:w="1901"/>
          </w:tcPr>
          <w:p>
            <w:r>
              <w:t>Preserve accurate Git branch semantics in visualization: branches are pointers to commits, not copied file trees; external branches remain usable.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BLG-020</w:t>
            </w:r>
          </w:p>
        </w:tc>
        <w:tc>
          <w:tcPr>
            <w:tcW w:type="dxa" w:w="1901"/>
          </w:tcPr>
          <w:p>
            <w:r>
              <w:t>P1 — AI API discovery and multi-client compatibility</w:t>
            </w:r>
          </w:p>
        </w:tc>
        <w:tc>
          <w:tcPr>
            <w:tcW w:type="dxa" w:w="1901"/>
          </w:tcPr>
          <w:p>
            <w:r>
              <w:t>Add a capability/metadata endpoint so an AI client can discover API version, supported operations, authorized repositories, read/write permissions, limits, and relevant capabilities.</w:t>
            </w:r>
          </w:p>
        </w:tc>
        <w:tc>
          <w:tcPr>
            <w:tcW w:type="dxa" w:w="1901"/>
          </w:tcPr>
          <w:p>
            <w:r>
              <w:t>admin.php; client.php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BLG-021</w:t>
            </w:r>
          </w:p>
        </w:tc>
        <w:tc>
          <w:tcPr>
            <w:tcW w:type="dxa" w:w="1901"/>
          </w:tcPr>
          <w:p>
            <w:r>
              <w:t>P1 — AI API discovery and multi-client compatibility</w:t>
            </w:r>
          </w:p>
        </w:tc>
        <w:tc>
          <w:tcPr>
            <w:tcW w:type="dxa" w:w="1901"/>
          </w:tcPr>
          <w:p>
            <w:r>
              <w:t>Provide a human-readable website view of the same capability metadata, generated from the same underlying definition so UI and API cannot drift.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BLG-022</w:t>
            </w:r>
          </w:p>
        </w:tc>
        <w:tc>
          <w:tcPr>
            <w:tcW w:type="dxa" w:w="1901"/>
          </w:tcPr>
          <w:p>
            <w:r>
              <w:t>P1 — AI API discovery and multi-client compatibility</w:t>
            </w:r>
          </w:p>
        </w:tc>
        <w:tc>
          <w:tcPr>
            <w:tcW w:type="dxa" w:w="1901"/>
          </w:tcPr>
          <w:p>
            <w:r>
              <w:t>Verify the existing authentication model can support multiple external AI clients with scoped credentials/permissions. Keep one stable API rather than ChatGPT-specific behavior.</w:t>
            </w:r>
          </w:p>
        </w:tc>
        <w:tc>
          <w:tcPr>
            <w:tcW w:type="dxa" w:w="1901"/>
          </w:tcPr>
          <w:p>
            <w:r>
              <w:t>admin.php; client.php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BLG-023</w:t>
            </w:r>
          </w:p>
        </w:tc>
        <w:tc>
          <w:tcPr>
            <w:tcW w:type="dxa" w:w="1901"/>
          </w:tcPr>
          <w:p>
            <w:r>
              <w:t>P1 — AI API discovery and multi-client compatibility</w:t>
            </w:r>
          </w:p>
        </w:tc>
        <w:tc>
          <w:tcPr>
            <w:tcW w:type="dxa" w:w="1901"/>
          </w:tcPr>
          <w:p>
            <w:r>
              <w:t>Add a future cross-AI acceptance test: use a second AI client such as Grok or another available client to perform a small read/modify/commit task through the same API contract.</w:t>
            </w:r>
          </w:p>
        </w:tc>
        <w:tc>
          <w:tcPr>
            <w:tcW w:type="dxa" w:w="1901"/>
          </w:tcPr>
          <w:p>
            <w:r>
              <w:t>admin.php; client.php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BLG-024</w:t>
            </w:r>
          </w:p>
        </w:tc>
        <w:tc>
          <w:tcPr>
            <w:tcW w:type="dxa" w:w="1901"/>
          </w:tcPr>
          <w:p>
            <w:r>
              <w:t>P1 — Authoritative deployment-state interface</w:t>
            </w:r>
          </w:p>
        </w:tc>
        <w:tc>
          <w:tcPr>
            <w:tcW w:type="dxa" w:w="1901"/>
          </w:tcPr>
          <w:p>
            <w:r>
              <w:t>Add or define a separate Tilted Logic deployment/site-management interface rather than expanding GitHub functions into deployment management.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BLG-025</w:t>
            </w:r>
          </w:p>
        </w:tc>
        <w:tc>
          <w:tcPr>
            <w:tcW w:type="dxa" w:w="1901"/>
          </w:tcPr>
          <w:p>
            <w:r>
              <w:t>P1 — Authoritative deployment-state interface</w:t>
            </w:r>
          </w:p>
        </w:tc>
        <w:tc>
          <w:tcPr>
            <w:tcW w:type="dxa" w:w="1901"/>
          </w:tcPr>
          <w:p>
            <w:r>
              <w:t>Provide direct authoritative inspection of deployed server state instead of relying on public web retrieval/search caches. Return file manifest information such as paths, sizes, hashes, version identity, and when available the source commit/release that produced the deployment.</w:t>
            </w:r>
          </w:p>
        </w:tc>
        <w:tc>
          <w:tcPr>
            <w:tcW w:type="dxa" w:w="1901"/>
          </w:tcPr>
          <w:p>
            <w:r>
              <w:t>tools/validate-release.py; release-manifest.json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BLG-026</w:t>
            </w:r>
          </w:p>
        </w:tc>
        <w:tc>
          <w:tcPr>
            <w:tcW w:type="dxa" w:w="1901"/>
          </w:tcPr>
          <w:p>
            <w:r>
              <w:t>P1 — Authoritative deployment-state interface</w:t>
            </w:r>
          </w:p>
        </w:tc>
        <w:tc>
          <w:tcPr>
            <w:tcW w:type="dxa" w:w="1901"/>
          </w:tcPr>
          <w:p>
            <w:r>
              <w:t>Support deterministic validation: compare intended source/release against actual deployed server files, deploy, validate the resulting state, and record the source commit/release.</w:t>
            </w:r>
          </w:p>
        </w:tc>
        <w:tc>
          <w:tcPr>
            <w:tcW w:type="dxa" w:w="1901"/>
          </w:tcPr>
          <w:p>
            <w:r>
              <w:t>tools/validate-release.py; release-manifest.json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BLG-027</w:t>
            </w:r>
          </w:p>
        </w:tc>
        <w:tc>
          <w:tcPr>
            <w:tcW w:type="dxa" w:w="1901"/>
          </w:tcPr>
          <w:p>
            <w:r>
              <w:t>P1 — Authoritative deployment-state interface</w:t>
            </w:r>
          </w:p>
        </w:tc>
        <w:tc>
          <w:tcPr>
            <w:tcW w:type="dxa" w:w="1901"/>
          </w:tcPr>
          <w:p>
            <w:r>
              <w:t>Architectural rule: public web visibility is not proof of deployed state when an authoritative deployment-state interface exists.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BLG-028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Create a Domain Manifest concept: a machine-readable bootstrap/index describing what resources, datasets, files, API endpoints, schemas, capabilities, versions, links, and domain-specific operating instructions are available and which are authoritative.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BLG-029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Create a Domain Manifest Registry inside the Interfaces infrastructure. It must create/register, discover/list, retrieve, update, and version manifests without hard-coded per-domain endpoints in AI clients.</w:t>
            </w:r>
          </w:p>
        </w:tc>
        <w:tc>
          <w:tcPr>
            <w:tcW w:type="dxa" w:w="1901"/>
          </w:tcPr>
          <w:p>
            <w:r>
              <w:t>self-update.php; lib/release-approval.php; KIP-Interfaces-Updater/lib/updater.php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BLG-030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Provide one well-known stable bootstrap address for the registry. From it, clients discover domains such as KIP Apiary, Mars, Greenhouse, Garden, and Embedded Systems.</w:t>
            </w:r>
          </w:p>
        </w:tc>
        <w:tc>
          <w:tcPr>
            <w:tcW w:type="dxa" w:w="1901"/>
          </w:tcPr>
          <w:p>
            <w:r>
              <w:t>admin.php; client.php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BLG-031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Define and version the Domain Manifest schema. Include stable domain identity, description, manifest/schema version, operating instructions, resources/endpoints, authority indicators, and access requirements.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BLG-032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Validate manifests on create/update so malformed manifests cannot strand a domain. Retrieval must identify the exact manifest version/hash used.</w:t>
            </w:r>
          </w:p>
        </w:tc>
        <w:tc>
          <w:tcPr>
            <w:tcW w:type="dxa" w:w="1901"/>
          </w:tcPr>
          <w:p>
            <w:r>
              <w:t>self-update.php; lib/release-approval.php; KIP-Interfaces-Updater/lib/updater.php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BLG-033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Support permissions: a manifest may describe resources that a particular AI is not authorized to use; Interfaces must enforce access rather than relying on the client.</w:t>
            </w:r>
          </w:p>
        </w:tc>
        <w:tc>
          <w:tcPr>
            <w:tcW w:type="dxa" w:w="1901"/>
          </w:tcPr>
          <w:p>
            <w:r>
              <w:t>admin.php; client.php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BLG-034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Move domain-specific AI setup instructions out of global/project ChatGPT setup and into the appropriate registered Domain Manifest. Global setup should shrink to the bootstrap rule for discovering/loading the current domain manifest.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BLG-035</w:t>
            </w:r>
          </w:p>
        </w:tc>
        <w:tc>
          <w:tcPr>
            <w:tcW w:type="dxa" w:w="1901"/>
          </w:tcPr>
          <w:p>
            <w:r>
              <w:t>P1 — Domain Manifest system</w:t>
            </w:r>
          </w:p>
        </w:tc>
        <w:tc>
          <w:tcPr>
            <w:tcW w:type="dxa" w:w="1901"/>
          </w:tcPr>
          <w:p>
            <w:r>
              <w:t>For KIP Apiary specifically, migrate the current sources/project bootstrap material and operating instructions into or behind the KIP Apiary Domain Manifest.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BLG-036</w:t>
            </w:r>
          </w:p>
        </w:tc>
        <w:tc>
          <w:tcPr>
            <w:tcW w:type="dxa" w:w="1901"/>
          </w:tcPr>
          <w:p>
            <w:r>
              <w:t>P2 — KIP/project-state integration boundary</w:t>
            </w:r>
          </w:p>
        </w:tc>
        <w:tc>
          <w:tcPr>
            <w:tcW w:type="dxa" w:w="1901"/>
          </w:tcPr>
          <w:p>
            <w:r>
              <w:t>Do not turn KIP Interfaces into the project knowledge-management system. KIP owns durable domain/project knowledge and state; GitHub owns source history; KIP Interfaces safely connects AI to GitHub and other interface services.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BLG-037</w:t>
            </w:r>
          </w:p>
        </w:tc>
        <w:tc>
          <w:tcPr>
            <w:tcW w:type="dxa" w:w="1901"/>
          </w:tcPr>
          <w:p>
            <w:r>
              <w:t>P2 — KIP/project-state integration boundary</w:t>
            </w:r>
          </w:p>
        </w:tc>
        <w:tc>
          <w:tcPr>
            <w:tcW w:type="dxa" w:w="1901"/>
          </w:tcPr>
          <w:p>
            <w:r>
              <w:t>Future KIP project state should preserve objectives, current state, backlog, decisions and rationale, feature lifecycle/history, open questions, and significant changes. These requirements belong to KIP, not the KIP Interfaces implementation.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BLG-038</w:t>
            </w:r>
          </w:p>
        </w:tc>
        <w:tc>
          <w:tcPr>
            <w:tcW w:type="dxa" w:w="1901"/>
          </w:tcPr>
          <w:p>
            <w:r>
              <w:t>P2 — KIP/project-state integration boundary</w:t>
            </w:r>
          </w:p>
        </w:tc>
        <w:tc>
          <w:tcPr>
            <w:tcW w:type="dxa" w:w="1901"/>
          </w:tcPr>
          <w:p>
            <w:r>
              <w:t>Design machine-readable write/deployment results so KIP can later capture source-control and deployment events as project history.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BLG-039</w:t>
            </w:r>
          </w:p>
        </w:tc>
        <w:tc>
          <w:tcPr>
            <w:tcW w:type="dxa" w:w="1901"/>
          </w:tcPr>
          <w:p>
            <w:r>
              <w:t>Acceptance gates</w:t>
            </w:r>
          </w:p>
        </w:tc>
        <w:tc>
          <w:tcPr>
            <w:tcW w:type="dxa" w:w="1901"/>
          </w:tcPr>
          <w:p>
            <w:r>
              <w:t>Do not declare Phase 2 complete until live commit execution/result reporting and retained-ZIP reuse pass on the server.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BLG-040</w:t>
            </w:r>
          </w:p>
        </w:tc>
        <w:tc>
          <w:tcPr>
            <w:tcW w:type="dxa" w:w="1901"/>
          </w:tcPr>
          <w:p>
            <w:r>
              <w:t>Acceptance gates</w:t>
            </w:r>
          </w:p>
        </w:tc>
        <w:tc>
          <w:tcPr>
            <w:tcW w:type="dxa" w:w="1901"/>
          </w:tcPr>
          <w:p>
            <w:r>
              <w:t>After API primitives are implemented, verify stale-base rejection, diff/reconciliation flow, atomic multi-file commit, and exact resulting SHA.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BLG-041</w:t>
            </w:r>
          </w:p>
        </w:tc>
        <w:tc>
          <w:tcPr>
            <w:tcW w:type="dxa" w:w="1901"/>
          </w:tcPr>
          <w:p>
            <w:r>
              <w:t>Acceptance gates</w:t>
            </w:r>
          </w:p>
        </w:tc>
        <w:tc>
          <w:tcPr>
            <w:tcW w:type="dxa" w:w="1901"/>
          </w:tcPr>
          <w:p>
            <w:r>
              <w:t>Verify version-state display with deliberately different installed, GitHub, and retained/latest versions.</w:t>
            </w:r>
          </w:p>
        </w:tc>
        <w:tc>
          <w:tcPr>
            <w:tcW w:type="dxa" w:w="1901"/>
          </w:tcPr>
          <w:p>
            <w:r>
              <w:t>github.php; lib/github.php; 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BLG-042</w:t>
            </w:r>
          </w:p>
        </w:tc>
        <w:tc>
          <w:tcPr>
            <w:tcW w:type="dxa" w:w="1901"/>
          </w:tcPr>
          <w:p>
            <w:r>
              <w:t>Acceptance gates</w:t>
            </w:r>
          </w:p>
        </w:tc>
        <w:tc>
          <w:tcPr>
            <w:tcW w:type="dxa" w:w="1901"/>
          </w:tcPr>
          <w:p>
            <w:r>
              <w:t>Verify Domain Manifest discovery from the single registry bootstrap address, exact version/hash reporting, validation failure behavior, and permission enforcement.</w:t>
            </w:r>
          </w:p>
        </w:tc>
        <w:tc>
          <w:tcPr>
            <w:tcW w:type="dxa" w:w="1901"/>
          </w:tcPr>
          <w:p>
            <w:r>
              <w:t>Not mapped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  <w:tr>
        <w:tc>
          <w:tcPr>
            <w:tcW w:type="dxa" w:w="1901"/>
          </w:tcPr>
          <w:p>
            <w:r>
              <w:t>BLG-043</w:t>
            </w:r>
          </w:p>
        </w:tc>
        <w:tc>
          <w:tcPr>
            <w:tcW w:type="dxa" w:w="1901"/>
          </w:tcPr>
          <w:p>
            <w:r>
              <w:t>Acceptance gates</w:t>
            </w:r>
          </w:p>
        </w:tc>
        <w:tc>
          <w:tcPr>
            <w:tcW w:type="dxa" w:w="1901"/>
          </w:tcPr>
          <w:p>
            <w:r>
              <w:t>Later, perform cross-AI compatibility testing through the same API contract.</w:t>
            </w:r>
          </w:p>
        </w:tc>
        <w:tc>
          <w:tcPr>
            <w:tcW w:type="dxa" w:w="1901"/>
          </w:tcPr>
          <w:p>
            <w:r>
              <w:t>ai-api.php; lib/ai-api.php</w:t>
            </w:r>
          </w:p>
        </w:tc>
        <w:tc>
          <w:tcPr>
            <w:tcW w:type="dxa" w:w="1901"/>
          </w:tcPr>
          <w:p>
            <w:r>
              <w:t>NOT VERIFIED</w:t>
            </w:r>
          </w:p>
        </w:tc>
      </w:tr>
    </w:tbl>
    <w:p>
      <w:pPr>
        <w:pStyle w:val="Heading1"/>
      </w:pPr>
      <w:r>
        <w:t>Outstanding inventory crosswalk</w:t>
      </w:r>
    </w:p>
    <w:p>
      <w:pPr>
        <w:pStyle w:val="ListBullet"/>
      </w:pPr>
      <w:r>
        <w:t>PEND-001 through PEND-061 : retained as unresolved identifiers , not assumed equivalent to BLG rows; the packaged reconciliation contains only mention counts, not authoritative descriptions.</w:t>
      </w:r>
    </w:p>
    <w:p>
      <w:pPr>
        <w:pStyle w:val="ListBullet"/>
      </w:pPr>
      <w:r>
        <w:t>Ten P3-* identifiers: described in Requirements-Reconciliation-v0.1.41.md ; overlap with backlog statements is unresolved.</w:t>
      </w:r>
    </w:p>
    <w:p>
      <w:pPr>
        <w:pStyle w:val="ListBullet"/>
      </w:pPr>
      <w:r>
        <w:t>Six inherited traceability entries: still INHERITED_UNRECONCILED .</w:t>
      </w:r>
    </w:p>
    <w:p>
      <w:pPr>
        <w:pStyle w:val="ListBullet"/>
      </w:pPr>
      <w:r>
        <w:t>CI-CONT-001 : mandatory package-continuity acceptance, independently untested.</w:t>
      </w:r>
    </w:p>
    <w:p>
      <w:pPr>
        <w:pStyle w:val="ListBullet"/>
      </w:pPr>
      <w:r>
        <w:t>CI-UPD-001 : high-severity release approval issue, open.</w:t>
      </w:r>
    </w:p>
    <w:p>
      <w:pPr>
        <w:pStyle w:val="Heading1"/>
      </w:pPr>
      <w:r>
        <w:t>How to complete the register</w:t>
      </w:r>
    </w:p>
    <w:p>
      <w:r>
        <w:t>For each row, provide an atomic normative requirement, priority, acceptance criterion, current implementation state, source symbol and line range, executable test case and observed result. Record external-only historical evidence as MISSING until its normative substance is included in the release package. Do not close a requirement solely because a file exists.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